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19" w:rsidRPr="00727C30" w:rsidRDefault="00996B19" w:rsidP="00996B19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Погоджено: </w:t>
      </w:r>
    </w:p>
    <w:p w:rsidR="00996B19" w:rsidRPr="00727C30" w:rsidRDefault="00996B19" w:rsidP="00996B19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  <w:proofErr w:type="spellStart"/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>в.о.завідувача</w:t>
      </w:r>
      <w:proofErr w:type="spellEnd"/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</w:t>
      </w:r>
      <w:proofErr w:type="spellStart"/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>Прибузького</w:t>
      </w:r>
      <w:proofErr w:type="spellEnd"/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ДНЗ</w:t>
      </w:r>
    </w:p>
    <w:p w:rsidR="00996B19" w:rsidRPr="00727C30" w:rsidRDefault="00996B19" w:rsidP="00996B19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   </w:t>
      </w: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u w:val="single"/>
          <w:lang w:val="uk-UA"/>
        </w:rPr>
        <w:t xml:space="preserve">                                            </w:t>
      </w: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Л.М.Єгорова </w:t>
      </w:r>
    </w:p>
    <w:p w:rsidR="00996B19" w:rsidRPr="00727C30" w:rsidRDefault="00996B19" w:rsidP="00996B19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8"/>
          <w:szCs w:val="28"/>
        </w:rPr>
      </w:pP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</w:rPr>
      </w:pP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</w:rPr>
      </w:pP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Pr="00727C30" w:rsidRDefault="00996B19" w:rsidP="00996B19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40"/>
          <w:szCs w:val="40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40"/>
          <w:szCs w:val="40"/>
          <w:lang w:val="uk-UA"/>
        </w:rPr>
        <w:t>Положення</w:t>
      </w:r>
    </w:p>
    <w:p w:rsidR="00996B19" w:rsidRPr="00727C30" w:rsidRDefault="00996B19" w:rsidP="00996B19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 xml:space="preserve">про функціонування в </w:t>
      </w:r>
      <w:proofErr w:type="spellStart"/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>Прибузькому</w:t>
      </w:r>
      <w:proofErr w:type="spellEnd"/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 xml:space="preserve"> дошкільному</w:t>
      </w:r>
    </w:p>
    <w:p w:rsidR="00996B19" w:rsidRPr="00727C30" w:rsidRDefault="00996B19" w:rsidP="00996B19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>навчальному закладі поштової скриньки «Скриньки довіри»</w:t>
      </w:r>
    </w:p>
    <w:p w:rsidR="00996B19" w:rsidRPr="00727C30" w:rsidRDefault="00996B19" w:rsidP="00996B19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Pr="00727C30" w:rsidRDefault="00996B19" w:rsidP="00996B19">
      <w:pPr>
        <w:tabs>
          <w:tab w:val="left" w:pos="6390"/>
        </w:tabs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Розроблено:                                                                    </w:t>
      </w: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                    </w:t>
      </w: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Узгоджено:</w:t>
      </w:r>
    </w:p>
    <w:p w:rsidR="00996B19" w:rsidRPr="00727C30" w:rsidRDefault="00996B19" w:rsidP="00996B19">
      <w:pPr>
        <w:tabs>
          <w:tab w:val="left" w:pos="6390"/>
        </w:tabs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Практичний психолог:                                                     </w:t>
      </w: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                 </w:t>
      </w: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 Вихователі:</w:t>
      </w:r>
    </w:p>
    <w:p w:rsidR="00996B19" w:rsidRDefault="00996B19" w:rsidP="00996B19">
      <w:pPr>
        <w:tabs>
          <w:tab w:val="left" w:pos="6165"/>
          <w:tab w:val="left" w:pos="6390"/>
        </w:tabs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  </w:t>
      </w: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u w:val="single"/>
          <w:lang w:val="uk-UA"/>
        </w:rPr>
        <w:t xml:space="preserve">                                    </w:t>
      </w: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>А.О.</w:t>
      </w:r>
      <w:proofErr w:type="spellStart"/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>Копчук</w:t>
      </w:r>
      <w:proofErr w:type="spellEnd"/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ab/>
      </w: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u w:val="single"/>
          <w:lang w:val="uk-UA"/>
        </w:rPr>
        <w:t xml:space="preserve">                   </w:t>
      </w: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 Н.М.</w:t>
      </w:r>
      <w:proofErr w:type="spellStart"/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>Ванжула</w:t>
      </w:r>
      <w:proofErr w:type="spellEnd"/>
    </w:p>
    <w:p w:rsidR="00996B19" w:rsidRPr="00727C30" w:rsidRDefault="00996B19" w:rsidP="00996B19">
      <w:pPr>
        <w:tabs>
          <w:tab w:val="left" w:pos="6165"/>
          <w:tab w:val="left" w:pos="6390"/>
        </w:tabs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ab/>
      </w: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u w:val="single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Л.Ф.</w:t>
      </w:r>
      <w:proofErr w:type="spellStart"/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>Омельянець</w:t>
      </w:r>
      <w:proofErr w:type="spellEnd"/>
      <w:r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                      </w:t>
      </w: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>02.06.2020 року</w:t>
      </w: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ab/>
      </w:r>
      <w:r w:rsidRPr="00727C30">
        <w:rPr>
          <w:rFonts w:ascii="Times New Roman" w:eastAsia="Times New Roman" w:hAnsi="Times New Roman" w:cs="Times New Roman"/>
          <w:color w:val="293A55"/>
          <w:sz w:val="28"/>
          <w:szCs w:val="28"/>
          <w:u w:val="single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color w:val="293A55"/>
          <w:sz w:val="28"/>
          <w:szCs w:val="28"/>
          <w:u w:val="single"/>
          <w:lang w:val="uk-UA"/>
        </w:rPr>
        <w:t xml:space="preserve">  </w:t>
      </w: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</w:p>
    <w:p w:rsidR="00996B19" w:rsidRPr="00727C30" w:rsidRDefault="00996B19" w:rsidP="00996B19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lastRenderedPageBreak/>
        <w:t>1.Загальні положення</w:t>
      </w: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Положення про функціонування в </w:t>
      </w:r>
      <w:proofErr w:type="spellStart"/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Прибузькому</w:t>
      </w:r>
      <w:proofErr w:type="spellEnd"/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дошкільному навчальному закладі поштової скриньки «Скриньки довіри»,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визначає єдиний порядок приймання,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реєстрації та розгля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ду питань, інформації,пропозиції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,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які надійшли за зазначеною в цьому положенні адресою.</w:t>
      </w: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Посадові особи,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які забезпечують функціонування поштової скриньки «Скриньки довіри»,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у своїй діяльності керуються  Конституцією України,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Законами України «Про запобігання корупції», «Про звернення громадян»,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цим Положенням та іншими нормативними документами.</w:t>
      </w:r>
    </w:p>
    <w:p w:rsidR="00996B19" w:rsidRDefault="00996B19" w:rsidP="0099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 xml:space="preserve">2.Порядок функціонування в </w:t>
      </w:r>
      <w:proofErr w:type="spellStart"/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>Прибузькому</w:t>
      </w:r>
      <w:proofErr w:type="spellEnd"/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 xml:space="preserve"> </w:t>
      </w:r>
    </w:p>
    <w:p w:rsidR="00996B19" w:rsidRDefault="00996B19" w:rsidP="0099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 xml:space="preserve">дошкільному навчальному закладі </w:t>
      </w:r>
    </w:p>
    <w:p w:rsidR="00996B19" w:rsidRPr="00727C30" w:rsidRDefault="00996B19" w:rsidP="0099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>поштової скриньки «Скриньки довіри»</w:t>
      </w:r>
    </w:p>
    <w:p w:rsidR="00996B19" w:rsidRPr="00727C30" w:rsidRDefault="00996B19" w:rsidP="00996B19">
      <w:pPr>
        <w:spacing w:after="0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2.1. Поштова скринька  «Скринька довіри» функціонує з 7.30 до 18.00 з понеділка по п’ятницю за виключенням вихідних днів встановлених державою в адміністративній будівлі дошкільного навчального закладу за адресою:</w:t>
      </w:r>
    </w:p>
    <w:p w:rsidR="00996B19" w:rsidRPr="00727C30" w:rsidRDefault="00996B19" w:rsidP="00996B19">
      <w:pPr>
        <w:spacing w:after="0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Миколаївська область </w:t>
      </w:r>
    </w:p>
    <w:p w:rsidR="00996B19" w:rsidRDefault="00996B19" w:rsidP="00996B19">
      <w:pPr>
        <w:spacing w:after="0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Вітовський район </w:t>
      </w:r>
    </w:p>
    <w:p w:rsidR="00996B19" w:rsidRDefault="00996B19" w:rsidP="00996B19">
      <w:pPr>
        <w:spacing w:after="0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село </w:t>
      </w:r>
      <w:proofErr w:type="spellStart"/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Прибузьке</w:t>
      </w:r>
      <w:proofErr w:type="spellEnd"/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</w:p>
    <w:p w:rsidR="00996B19" w:rsidRPr="00727C30" w:rsidRDefault="00996B19" w:rsidP="00996B19">
      <w:pPr>
        <w:spacing w:after="0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вулиця Шкільна ,б.39</w:t>
      </w:r>
    </w:p>
    <w:p w:rsidR="00996B19" w:rsidRDefault="00996B19" w:rsidP="00996B19">
      <w:pPr>
        <w:spacing w:after="0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2.2.Щомісяця завідувач проводить батьківські збори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,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на як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их і розглядаються звернення,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пропозиції</w:t>
      </w:r>
      <w:r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та скарги громадян.</w:t>
      </w:r>
    </w:p>
    <w:p w:rsidR="00996B19" w:rsidRPr="00727C30" w:rsidRDefault="00996B19" w:rsidP="00996B19">
      <w:pPr>
        <w:spacing w:after="0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2.3.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В кінці навчального року 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завідувач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звітує перед громадськістю,де підводиться підсумок функціонування «Скриньки довіри»</w:t>
      </w:r>
      <w:r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.</w:t>
      </w:r>
    </w:p>
    <w:p w:rsidR="00996B19" w:rsidRDefault="00996B19" w:rsidP="0099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>3.Контроль за дотримання порядку прийняття,</w:t>
      </w:r>
    </w:p>
    <w:p w:rsidR="00996B19" w:rsidRDefault="00996B19" w:rsidP="0099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>реєстрації та розгляду інформації,</w:t>
      </w:r>
      <w:r w:rsidR="00B666A4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 xml:space="preserve">що надходить </w:t>
      </w:r>
    </w:p>
    <w:p w:rsidR="00996B19" w:rsidRPr="00727C30" w:rsidRDefault="00996B19" w:rsidP="0099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>поштовою скринькою «Скринькою довіри»</w:t>
      </w:r>
    </w:p>
    <w:p w:rsidR="00996B19" w:rsidRPr="00727C30" w:rsidRDefault="00B666A4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3.1.В кінці кожного місяця, </w:t>
      </w:r>
      <w:r w:rsidR="00996B19"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інформація реєструється у відповідно</w:t>
      </w:r>
      <w:r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му журналі «Звернення громадян»</w:t>
      </w:r>
      <w:r w:rsidR="00996B19"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,</w:t>
      </w:r>
      <w:r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="00996B19"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номенклатурний номер 01-25.</w:t>
      </w:r>
    </w:p>
    <w:p w:rsidR="00996B19" w:rsidRPr="00727C30" w:rsidRDefault="00996B19" w:rsidP="0099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>4.Порядок розгляду інформації,що надходить</w:t>
      </w:r>
    </w:p>
    <w:p w:rsidR="00996B19" w:rsidRPr="00727C30" w:rsidRDefault="00996B19" w:rsidP="0099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>поштовою скринькою «Скринькою довіри»</w:t>
      </w:r>
    </w:p>
    <w:p w:rsidR="00996B19" w:rsidRPr="00727C30" w:rsidRDefault="00996B19" w:rsidP="00996B19">
      <w:pPr>
        <w:spacing w:after="0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4.1.Після реєстрації у журнал 01-25,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інформація передається в.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о.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завідувача на ознайомлення,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після цього-виконавцям для відповідного реагування.</w:t>
      </w: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4.2.Інформація,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яка надходить «Скринькою довіри» і не стосується питань проявів  корупції,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розглядається в порядку визначеному Законом України «Про звернення громадян» та внутрішньо-правовими актами  </w:t>
      </w:r>
      <w:proofErr w:type="spellStart"/>
      <w:r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При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бузького</w:t>
      </w:r>
      <w:proofErr w:type="spellEnd"/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дошкільного навчального закладу.</w:t>
      </w:r>
    </w:p>
    <w:p w:rsidR="00996B19" w:rsidRPr="00727C30" w:rsidRDefault="00996B19" w:rsidP="00996B19">
      <w:pPr>
        <w:spacing w:after="0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4.3.Вжиті заходи  реагування та відповіді на звернення можуть відображатися:</w:t>
      </w:r>
    </w:p>
    <w:p w:rsidR="00996B19" w:rsidRPr="00727C30" w:rsidRDefault="00996B19" w:rsidP="00996B19">
      <w:pPr>
        <w:spacing w:after="0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на батьківських зборах;</w:t>
      </w:r>
    </w:p>
    <w:p w:rsidR="00996B19" w:rsidRPr="00727C30" w:rsidRDefault="00996B19" w:rsidP="00996B19">
      <w:pPr>
        <w:spacing w:after="0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на педагогічних та виробничих нарадах;</w:t>
      </w:r>
    </w:p>
    <w:p w:rsidR="00996B19" w:rsidRPr="00727C30" w:rsidRDefault="00996B19" w:rsidP="00996B19">
      <w:pPr>
        <w:spacing w:after="0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річних звітах завідувача;</w:t>
      </w:r>
    </w:p>
    <w:p w:rsidR="00996B19" w:rsidRPr="00727C30" w:rsidRDefault="00996B19" w:rsidP="0099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>5.Порядок зберігання інформації,</w:t>
      </w:r>
      <w:r w:rsidR="00B666A4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>що надходить</w:t>
      </w:r>
    </w:p>
    <w:p w:rsidR="00996B19" w:rsidRPr="00727C30" w:rsidRDefault="00996B19" w:rsidP="0099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</w:pPr>
      <w:r w:rsidRPr="00727C30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/>
        </w:rPr>
        <w:t>поштовою скринькою «Скринькою довіри»</w:t>
      </w: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</w:pP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5.1.»Журнал реєстрації пропозицій,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заяв і  скарг громадян»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згідно з додатком зберігається у в.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</w:t>
      </w:r>
      <w:r w:rsidRPr="00727C30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>о.</w:t>
      </w:r>
      <w:r w:rsidR="00B666A4">
        <w:rPr>
          <w:rFonts w:ascii="Times New Roman" w:eastAsia="Times New Roman" w:hAnsi="Times New Roman" w:cs="Times New Roman"/>
          <w:color w:val="293A55"/>
          <w:sz w:val="26"/>
          <w:szCs w:val="26"/>
          <w:lang w:val="uk-UA"/>
        </w:rPr>
        <w:t xml:space="preserve"> завідувача Л.М.Єгорової.</w:t>
      </w:r>
    </w:p>
    <w:p w:rsidR="00996B19" w:rsidRPr="00727C30" w:rsidRDefault="00996B19" w:rsidP="00996B1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</w:pPr>
    </w:p>
    <w:p w:rsidR="0029054B" w:rsidRPr="00996B19" w:rsidRDefault="0029054B">
      <w:pPr>
        <w:rPr>
          <w:lang w:val="uk-UA"/>
        </w:rPr>
      </w:pPr>
    </w:p>
    <w:sectPr w:rsidR="0029054B" w:rsidRPr="00996B19" w:rsidSect="00D3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19"/>
    <w:rsid w:val="0029054B"/>
    <w:rsid w:val="00996B19"/>
    <w:rsid w:val="00B666A4"/>
    <w:rsid w:val="00D3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2020-06-04T10:43:00Z</cp:lastPrinted>
  <dcterms:created xsi:type="dcterms:W3CDTF">2020-06-02T07:22:00Z</dcterms:created>
  <dcterms:modified xsi:type="dcterms:W3CDTF">2020-06-04T10:45:00Z</dcterms:modified>
</cp:coreProperties>
</file>